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催告履行通知书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逝者</w:t>
      </w:r>
      <w:r>
        <w:rPr>
          <w:rFonts w:hint="eastAsia" w:ascii="仿宋_GB2312" w:hAnsi="Calibri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/>
          <w:sz w:val="32"/>
          <w:szCs w:val="32"/>
        </w:rPr>
        <w:t>家属：</w:t>
      </w:r>
    </w:p>
    <w:p>
      <w:pPr>
        <w:adjustRightInd w:val="0"/>
        <w:snapToGrid w:val="0"/>
        <w:spacing w:line="597" w:lineRule="exact"/>
        <w:ind w:firstLine="640" w:firstLineChars="200"/>
        <w:jc w:val="distribute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按照东莞市殡仪馆《遗体防腐保管协议书》，您的亲人</w:t>
      </w:r>
    </w:p>
    <w:p>
      <w:pPr>
        <w:adjustRightInd w:val="0"/>
        <w:snapToGrid w:val="0"/>
        <w:spacing w:line="597" w:lineRule="exact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/>
          <w:sz w:val="32"/>
          <w:szCs w:val="32"/>
        </w:rPr>
        <w:t>的遗体防腐保管约定时限为</w:t>
      </w:r>
      <w:r>
        <w:rPr>
          <w:sz w:val="32"/>
          <w:szCs w:val="32"/>
        </w:rPr>
        <w:t>15天（自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日起至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日），现已防腐保存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天，未有家属到东莞市殡仪馆办理任何丧葬事宜或延期保存遗体手续。为此，请您自收到本通知书30日内，到东莞市殡仪</w:t>
      </w:r>
      <w:r>
        <w:rPr>
          <w:rFonts w:hint="eastAsia" w:ascii="仿宋_GB2312" w:hAnsi="Calibri"/>
          <w:sz w:val="32"/>
          <w:szCs w:val="32"/>
        </w:rPr>
        <w:t>馆办理遗体火化或延期保存遗体手续，延期保存遗体应缴纳相应防腐费用；逾期不办理遗体火化或延期保存遗体手续的，东莞市殡仪馆将按照《广东省民政厅遗体火化管理工作暂行规定》和《东莞市无人认领遗体处理办法》的相关规定处置遗体，且有权通过法律途径追讨遗体保存及因处置遗体所发生的相关费用，包括但不限于诉讼费、保全费、律师费等。</w:t>
      </w:r>
    </w:p>
    <w:p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特此通知！</w:t>
      </w:r>
    </w:p>
    <w:p>
      <w:pPr>
        <w:ind w:firstLine="5280" w:firstLineChars="1650"/>
        <w:rPr>
          <w:rFonts w:ascii="仿宋_GB2312" w:hAnsi="Calibri"/>
          <w:sz w:val="32"/>
          <w:szCs w:val="32"/>
        </w:rPr>
      </w:pPr>
    </w:p>
    <w:p>
      <w:pPr>
        <w:ind w:firstLine="5280" w:firstLineChars="165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东莞市殡葬管理所</w:t>
      </w:r>
    </w:p>
    <w:p>
      <w:pPr>
        <w:ind w:firstLine="5920" w:firstLineChars="185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年  月  日</w:t>
      </w:r>
    </w:p>
    <w:p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联系人：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B3F6E"/>
    <w:rsid w:val="051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2021-03-31T12:54:00Z</dcterms:created>
  <dc:creator>蓝胖子</dc:creator>
  <cp:lastModifiedBy>蓝胖子</cp:lastModifiedBy>
  <dcterms:modified xsi:type="dcterms:W3CDTF">2021-03-31T12:56:20Z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